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40" w:line="240" w:lineRule="auto"/>
      </w:pPr>
      <w:r>
        <w:drawing>
          <wp:inline distT="0" distB="0" distL="0" distR="0">
            <wp:extent cx="1981200" cy="88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81200" cy="885825"/>
                    </a:xfrm>
                    <a:prstGeom prst="rect">
                      <a:avLst/>
                    </a:prstGeom>
                  </pic:spPr>
                </pic:pic>
              </a:graphicData>
            </a:graphic>
          </wp:inline>
        </w:drawing>
      </w:r>
    </w:p>
    <w:p>
      <w:pPr>
        <w:spacing w:after="40"/>
        <w:jc w:val="center"/>
      </w:pPr>
      <w:r>
        <w:rPr>
          <w:b/>
          <w:bCs/>
          <w:color w:val="1F2E5B"/>
          <w:sz w:val="30"/>
          <w:szCs w:val="30"/>
        </w:rPr>
        <w:t xml:space="preserve">Utility Contact Information</w:t>
      </w:r>
    </w:p>
    <w:p>
      <w:pPr>
        <w:spacing w:after="200"/>
        <w:jc w:val="center"/>
      </w:pPr>
      <w:r>
        <w:rPr>
          <w:i/>
          <w:iCs/>
          <w:color w:val="555555"/>
          <w:sz w:val="18"/>
          <w:szCs w:val="18"/>
        </w:rPr>
        <w:t xml:space="preserve">Hampton Roads service providers — set up utilities in your name before move-in</w:t>
      </w:r>
    </w:p>
    <w:p>
      <w:pPr>
        <w:pBdr>
          <w:top w:val="single" w:color="1F2E5B" w:sz="4"/>
          <w:bottom w:val="single" w:color="1F2E5B" w:sz="4"/>
          <w:left w:val="single" w:color="1F2E5B" w:sz="4"/>
          <w:right w:val="single" w:color="1F2E5B" w:sz="4"/>
        </w:pBdr>
        <w:shd w:fill="F1F4FA" w:color="auto" w:val="clear"/>
        <w:spacing w:after="120" w:before="40"/>
      </w:pPr>
      <w:r>
        <w:rPr>
          <w:b/>
          <w:bCs/>
          <w:color w:val="1F2E5B"/>
        </w:rPr>
        <w:t xml:space="preserve">Please set up service before your move-in date. </w:t>
      </w:r>
      <w:r>
        <w:t xml:space="preserve">Unless your Lease states that the Landlord provides a particular utility (see your Lease, Utilities section), you are responsible for placing utility accounts in your name. For fastest service, contact the provider directly using the numbers below. Numbers may change over time — if you have trouble connecting, verify the current number with the provider.</w:t>
      </w:r>
    </w:p>
    <w:p>
      <w:pPr>
        <w:keepNext/>
        <w:spacing w:after="60" w:before="200"/>
      </w:pPr>
      <w:r>
        <w:rPr>
          <w:b/>
          <w:bCs/>
          <w:color w:val="1F2E5B"/>
          <w:sz w:val="22"/>
          <w:szCs w:val="22"/>
        </w:rPr>
        <w:t xml:space="preserve">Chesapeake</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Columbia Gas</w:t>
            </w:r>
          </w:p>
        </w:tc>
        <w:tc>
          <w:tcPr>
            <w:tcW w:type="dxa" w:w="2560"/>
            <w:tcMar>
              <w:top w:type="dxa" w:w="40"/>
              <w:left w:type="dxa" w:w="100"/>
              <w:bottom w:type="dxa" w:w="40"/>
              <w:right w:type="dxa" w:w="100"/>
            </w:tcMar>
          </w:tcPr>
          <w:p>
            <w:pPr>
              <w:jc w:val="right"/>
            </w:pPr>
            <w:r>
              <w:rPr>
                <w:b/>
                <w:bCs/>
                <w:sz w:val="18"/>
                <w:szCs w:val="18"/>
              </w:rPr>
              <w:t xml:space="preserve">1-800-543-8911</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bl>
    <w:p>
      <w:pPr>
        <w:keepNext/>
        <w:spacing w:after="60" w:before="200"/>
      </w:pPr>
      <w:r>
        <w:rPr>
          <w:b/>
          <w:bCs/>
          <w:color w:val="1F2E5B"/>
          <w:sz w:val="22"/>
          <w:szCs w:val="22"/>
        </w:rPr>
        <w:t xml:space="preserve">Portsmouth</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Columbia Gas</w:t>
            </w:r>
          </w:p>
        </w:tc>
        <w:tc>
          <w:tcPr>
            <w:tcW w:type="dxa" w:w="2560"/>
            <w:tcMar>
              <w:top w:type="dxa" w:w="40"/>
              <w:left w:type="dxa" w:w="100"/>
              <w:bottom w:type="dxa" w:w="40"/>
              <w:right w:type="dxa" w:w="100"/>
            </w:tcMar>
          </w:tcPr>
          <w:p>
            <w:pPr>
              <w:jc w:val="right"/>
            </w:pPr>
            <w:r>
              <w:rPr>
                <w:b/>
                <w:bCs/>
                <w:sz w:val="18"/>
                <w:szCs w:val="18"/>
              </w:rPr>
              <w:t xml:space="preserve">1-800-543-8911</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City of Portsmouth</w:t>
            </w:r>
          </w:p>
        </w:tc>
        <w:tc>
          <w:tcPr>
            <w:tcW w:type="dxa" w:w="2560"/>
            <w:tcMar>
              <w:top w:type="dxa" w:w="40"/>
              <w:left w:type="dxa" w:w="100"/>
              <w:bottom w:type="dxa" w:w="40"/>
              <w:right w:type="dxa" w:w="100"/>
            </w:tcMar>
          </w:tcPr>
          <w:p>
            <w:pPr>
              <w:jc w:val="right"/>
            </w:pPr>
            <w:r>
              <w:rPr>
                <w:b/>
                <w:bCs/>
                <w:sz w:val="18"/>
                <w:szCs w:val="18"/>
              </w:rPr>
              <w:t xml:space="preserve">757-393-8524</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Portsmouth</w:t>
            </w:r>
          </w:p>
        </w:tc>
        <w:tc>
          <w:tcPr>
            <w:tcW w:type="dxa" w:w="2560"/>
            <w:tcMar>
              <w:top w:type="dxa" w:w="40"/>
              <w:left w:type="dxa" w:w="100"/>
              <w:bottom w:type="dxa" w:w="40"/>
              <w:right w:type="dxa" w:w="100"/>
            </w:tcMar>
          </w:tcPr>
          <w:p>
            <w:pPr>
              <w:jc w:val="right"/>
            </w:pPr>
            <w:r>
              <w:rPr>
                <w:b/>
                <w:bCs/>
                <w:sz w:val="18"/>
                <w:szCs w:val="18"/>
              </w:rPr>
              <w:t xml:space="preserve">757-393-8663</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Portsmouth</w:t>
            </w:r>
          </w:p>
        </w:tc>
        <w:tc>
          <w:tcPr>
            <w:tcW w:type="dxa" w:w="2560"/>
            <w:tcMar>
              <w:top w:type="dxa" w:w="40"/>
              <w:left w:type="dxa" w:w="100"/>
              <w:bottom w:type="dxa" w:w="40"/>
              <w:right w:type="dxa" w:w="100"/>
            </w:tcMar>
          </w:tcPr>
          <w:p>
            <w:pPr>
              <w:jc w:val="right"/>
            </w:pPr>
            <w:r>
              <w:rPr>
                <w:b/>
                <w:bCs/>
                <w:sz w:val="18"/>
                <w:szCs w:val="18"/>
              </w:rPr>
              <w:t xml:space="preserve">757-382-CITY (2489)</w:t>
            </w:r>
          </w:p>
        </w:tc>
      </w:tr>
    </w:tbl>
    <w:p>
      <w:pPr>
        <w:keepNext/>
        <w:spacing w:after="60" w:before="200"/>
      </w:pPr>
      <w:r>
        <w:rPr>
          <w:b/>
          <w:bCs/>
          <w:color w:val="1F2E5B"/>
          <w:sz w:val="22"/>
          <w:szCs w:val="22"/>
        </w:rPr>
        <w:t xml:space="preserve">Hampton</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Newport News Waterworks</w:t>
            </w:r>
          </w:p>
        </w:tc>
        <w:tc>
          <w:tcPr>
            <w:tcW w:type="dxa" w:w="2560"/>
            <w:tcMar>
              <w:top w:type="dxa" w:w="40"/>
              <w:left w:type="dxa" w:w="100"/>
              <w:bottom w:type="dxa" w:w="40"/>
              <w:right w:type="dxa" w:w="100"/>
            </w:tcMar>
          </w:tcPr>
          <w:p>
            <w:pPr>
              <w:jc w:val="right"/>
            </w:pPr>
            <w:r>
              <w:rPr>
                <w:b/>
                <w:bCs/>
                <w:sz w:val="18"/>
                <w:szCs w:val="18"/>
              </w:rPr>
              <w:t xml:space="preserve">757-926-1000</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Hampton</w:t>
            </w:r>
          </w:p>
        </w:tc>
        <w:tc>
          <w:tcPr>
            <w:tcW w:type="dxa" w:w="2560"/>
            <w:tcMar>
              <w:top w:type="dxa" w:w="40"/>
              <w:left w:type="dxa" w:w="100"/>
              <w:bottom w:type="dxa" w:w="40"/>
              <w:right w:type="dxa" w:w="100"/>
            </w:tcMar>
          </w:tcPr>
          <w:p>
            <w:pPr>
              <w:jc w:val="right"/>
            </w:pPr>
            <w:r>
              <w:rPr>
                <w:b/>
                <w:bCs/>
                <w:sz w:val="18"/>
                <w:szCs w:val="18"/>
              </w:rPr>
              <w:t xml:space="preserve">(757) 726-2909</w:t>
            </w:r>
          </w:p>
        </w:tc>
      </w:tr>
    </w:tbl>
    <w:p>
      <w:pPr>
        <w:keepNext/>
        <w:spacing w:after="60" w:before="200"/>
      </w:pPr>
      <w:r>
        <w:rPr>
          <w:b/>
          <w:bCs/>
          <w:color w:val="1F2E5B"/>
          <w:sz w:val="22"/>
          <w:szCs w:val="22"/>
        </w:rPr>
        <w:t xml:space="preserve">Suffolk</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Columbia Gas</w:t>
            </w:r>
          </w:p>
        </w:tc>
        <w:tc>
          <w:tcPr>
            <w:tcW w:type="dxa" w:w="2560"/>
            <w:tcMar>
              <w:top w:type="dxa" w:w="40"/>
              <w:left w:type="dxa" w:w="100"/>
              <w:bottom w:type="dxa" w:w="40"/>
              <w:right w:type="dxa" w:w="100"/>
            </w:tcMar>
          </w:tcPr>
          <w:p>
            <w:pPr>
              <w:jc w:val="right"/>
            </w:pPr>
            <w:r>
              <w:rPr>
                <w:b/>
                <w:bCs/>
                <w:sz w:val="18"/>
                <w:szCs w:val="18"/>
              </w:rPr>
              <w:t xml:space="preserve">1-800-543-8911</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Suffolk</w:t>
            </w:r>
          </w:p>
        </w:tc>
        <w:tc>
          <w:tcPr>
            <w:tcW w:type="dxa" w:w="2560"/>
            <w:tcMar>
              <w:top w:type="dxa" w:w="40"/>
              <w:left w:type="dxa" w:w="100"/>
              <w:bottom w:type="dxa" w:w="40"/>
              <w:right w:type="dxa" w:w="100"/>
            </w:tcMar>
          </w:tcPr>
          <w:p>
            <w:pPr>
              <w:jc w:val="right"/>
            </w:pPr>
            <w:r>
              <w:rPr>
                <w:b/>
                <w:bCs/>
                <w:sz w:val="18"/>
                <w:szCs w:val="18"/>
              </w:rPr>
              <w:t xml:space="preserve">757-514-7630</w:t>
            </w:r>
          </w:p>
        </w:tc>
      </w:tr>
    </w:tbl>
    <w:p>
      <w:pPr>
        <w:keepNext/>
        <w:spacing w:after="60" w:before="200"/>
      </w:pPr>
      <w:r>
        <w:rPr>
          <w:b/>
          <w:bCs/>
          <w:color w:val="1F2E5B"/>
          <w:sz w:val="22"/>
          <w:szCs w:val="22"/>
        </w:rPr>
        <w:t xml:space="preserve">Norfolk</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Norfolk</w:t>
            </w:r>
          </w:p>
        </w:tc>
        <w:tc>
          <w:tcPr>
            <w:tcW w:type="dxa" w:w="2560"/>
            <w:tcMar>
              <w:top w:type="dxa" w:w="40"/>
              <w:left w:type="dxa" w:w="100"/>
              <w:bottom w:type="dxa" w:w="40"/>
              <w:right w:type="dxa" w:w="100"/>
            </w:tcMar>
          </w:tcPr>
          <w:p>
            <w:pPr>
              <w:jc w:val="right"/>
            </w:pPr>
            <w:r>
              <w:rPr>
                <w:b/>
                <w:bCs/>
                <w:sz w:val="18"/>
                <w:szCs w:val="18"/>
              </w:rPr>
              <w:t xml:space="preserve">757-664-6510</w:t>
            </w:r>
          </w:p>
        </w:tc>
      </w:tr>
    </w:tbl>
    <w:p>
      <w:pPr>
        <w:keepNext/>
        <w:spacing w:after="60" w:before="200"/>
      </w:pPr>
      <w:r>
        <w:rPr>
          <w:b/>
          <w:bCs/>
          <w:color w:val="1F2E5B"/>
          <w:sz w:val="22"/>
          <w:szCs w:val="22"/>
        </w:rPr>
        <w:t xml:space="preserve">Virginia Beach</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City of Virginia Beach</w:t>
            </w:r>
          </w:p>
        </w:tc>
        <w:tc>
          <w:tcPr>
            <w:tcW w:type="dxa" w:w="2560"/>
            <w:tcMar>
              <w:top w:type="dxa" w:w="40"/>
              <w:left w:type="dxa" w:w="100"/>
              <w:bottom w:type="dxa" w:w="40"/>
              <w:right w:type="dxa" w:w="100"/>
            </w:tcMar>
          </w:tcPr>
          <w:p>
            <w:pPr>
              <w:jc w:val="right"/>
            </w:pPr>
            <w:r>
              <w:rPr>
                <w:b/>
                <w:bCs/>
                <w:sz w:val="18"/>
                <w:szCs w:val="18"/>
              </w:rPr>
              <w:t xml:space="preserve">757-385-4631</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Virginia Beach</w:t>
            </w:r>
          </w:p>
        </w:tc>
        <w:tc>
          <w:tcPr>
            <w:tcW w:type="dxa" w:w="2560"/>
            <w:tcMar>
              <w:top w:type="dxa" w:w="40"/>
              <w:left w:type="dxa" w:w="100"/>
              <w:bottom w:type="dxa" w:w="40"/>
              <w:right w:type="dxa" w:w="100"/>
            </w:tcMar>
          </w:tcPr>
          <w:p>
            <w:pPr>
              <w:jc w:val="right"/>
            </w:pPr>
            <w:r>
              <w:rPr>
                <w:b/>
                <w:bCs/>
                <w:sz w:val="18"/>
                <w:szCs w:val="18"/>
              </w:rPr>
              <w:t xml:space="preserve">757-385-4650</w:t>
            </w:r>
          </w:p>
        </w:tc>
      </w:tr>
    </w:tbl>
    <w:p>
      <w:pPr>
        <w:keepNext/>
        <w:spacing w:after="60" w:before="200"/>
      </w:pPr>
      <w:r>
        <w:rPr>
          <w:b/>
          <w:bCs/>
          <w:color w:val="1F2E5B"/>
          <w:sz w:val="22"/>
          <w:szCs w:val="22"/>
        </w:rPr>
        <w:t xml:space="preserve">Newport News</w:t>
      </w:r>
    </w:p>
    <w:tbl>
      <w:tblPr>
        <w:tblW w:type="dxa" w:w="9360"/>
        <w:tblBorders>
          <w:top w:val="single" w:color="AAAAAA" w:sz="4"/>
          <w:left w:val="single" w:color="AAAAAA" w:sz="4"/>
          <w:bottom w:val="single" w:color="AAAAAA" w:sz="4"/>
          <w:right w:val="single" w:color="AAAAAA" w:sz="4"/>
          <w:insideH w:val="single" w:color="DDDDDD" w:sz="4"/>
          <w:insideV w:val="single" w:color="DDDDDD" w:sz="4"/>
        </w:tblBorders>
        <w:tblLayout w:type="fixed"/>
      </w:tblPr>
      <w:tblGrid>
        <w:gridCol w:w="2500"/>
        <w:gridCol w:w="4300"/>
        <w:gridCol w:w="2560"/>
      </w:tblGrid>
      <w:tr>
        <w:trPr>
          <w:tblHeader/>
        </w:trPr>
        <w:tc>
          <w:tcPr>
            <w:tcW w:type="dxa" w:w="2500"/>
            <w:shd w:fill="EEF1F8" w:color="auto" w:val="clear"/>
            <w:tcMar>
              <w:top w:type="dxa" w:w="40"/>
              <w:left w:type="dxa" w:w="100"/>
              <w:bottom w:type="dxa" w:w="40"/>
              <w:right w:type="dxa" w:w="100"/>
            </w:tcMar>
          </w:tcPr>
          <w:p>
            <w:r>
              <w:rPr>
                <w:b/>
                <w:bCs/>
                <w:color w:val="1F2E5B"/>
                <w:sz w:val="16"/>
                <w:szCs w:val="16"/>
              </w:rPr>
              <w:t xml:space="preserve">Utility</w:t>
            </w:r>
          </w:p>
        </w:tc>
        <w:tc>
          <w:tcPr>
            <w:tcW w:type="dxa" w:w="4300"/>
            <w:shd w:fill="EEF1F8" w:color="auto" w:val="clear"/>
            <w:tcMar>
              <w:top w:type="dxa" w:w="40"/>
              <w:left w:type="dxa" w:w="100"/>
              <w:bottom w:type="dxa" w:w="40"/>
              <w:right w:type="dxa" w:w="100"/>
            </w:tcMar>
          </w:tcPr>
          <w:p>
            <w:r>
              <w:rPr>
                <w:b/>
                <w:bCs/>
                <w:color w:val="1F2E5B"/>
                <w:sz w:val="16"/>
                <w:szCs w:val="16"/>
              </w:rPr>
              <w:t xml:space="preserve">Provider</w:t>
            </w:r>
          </w:p>
        </w:tc>
        <w:tc>
          <w:tcPr>
            <w:tcW w:type="dxa" w:w="2560"/>
            <w:shd w:fill="EEF1F8" w:color="auto" w:val="clear"/>
            <w:tcMar>
              <w:top w:type="dxa" w:w="40"/>
              <w:left w:type="dxa" w:w="100"/>
              <w:bottom w:type="dxa" w:w="40"/>
              <w:right w:type="dxa" w:w="100"/>
            </w:tcMar>
          </w:tcPr>
          <w:p>
            <w:pPr>
              <w:jc w:val="right"/>
            </w:pPr>
            <w:r>
              <w:rPr>
                <w:b/>
                <w:bCs/>
                <w:color w:val="1F2E5B"/>
                <w:sz w:val="16"/>
                <w:szCs w:val="16"/>
              </w:rPr>
              <w:t xml:space="preserve">Phone</w:t>
            </w:r>
          </w:p>
        </w:tc>
      </w:tr>
      <w:tr>
        <w:tc>
          <w:tcPr>
            <w:tcW w:type="dxa" w:w="2500"/>
            <w:tcMar>
              <w:top w:type="dxa" w:w="40"/>
              <w:left w:type="dxa" w:w="100"/>
              <w:bottom w:type="dxa" w:w="40"/>
              <w:right w:type="dxa" w:w="100"/>
            </w:tcMar>
          </w:tcPr>
          <w:p>
            <w:r>
              <w:rPr>
                <w:b w:val="false"/>
                <w:bCs w:val="false"/>
                <w:sz w:val="18"/>
                <w:szCs w:val="18"/>
              </w:rPr>
              <w:t xml:space="preserve">Electricity</w:t>
            </w:r>
          </w:p>
        </w:tc>
        <w:tc>
          <w:tcPr>
            <w:tcW w:type="dxa" w:w="4300"/>
            <w:tcMar>
              <w:top w:type="dxa" w:w="40"/>
              <w:left w:type="dxa" w:w="100"/>
              <w:bottom w:type="dxa" w:w="40"/>
              <w:right w:type="dxa" w:w="100"/>
            </w:tcMar>
          </w:tcPr>
          <w:p>
            <w:r>
              <w:rPr>
                <w:b w:val="false"/>
                <w:bCs w:val="false"/>
                <w:sz w:val="18"/>
                <w:szCs w:val="18"/>
              </w:rPr>
              <w:t xml:space="preserve">Dominion Utilities</w:t>
            </w:r>
          </w:p>
        </w:tc>
        <w:tc>
          <w:tcPr>
            <w:tcW w:type="dxa" w:w="2560"/>
            <w:tcMar>
              <w:top w:type="dxa" w:w="40"/>
              <w:left w:type="dxa" w:w="100"/>
              <w:bottom w:type="dxa" w:w="40"/>
              <w:right w:type="dxa" w:w="100"/>
            </w:tcMar>
          </w:tcPr>
          <w:p>
            <w:pPr>
              <w:jc w:val="right"/>
            </w:pPr>
            <w:r>
              <w:rPr>
                <w:b/>
                <w:bCs/>
                <w:sz w:val="18"/>
                <w:szCs w:val="18"/>
              </w:rPr>
              <w:t xml:space="preserve">1-866-366-4357</w:t>
            </w:r>
          </w:p>
        </w:tc>
      </w:tr>
      <w:tr>
        <w:tc>
          <w:tcPr>
            <w:tcW w:type="dxa" w:w="2500"/>
            <w:tcMar>
              <w:top w:type="dxa" w:w="40"/>
              <w:left w:type="dxa" w:w="100"/>
              <w:bottom w:type="dxa" w:w="40"/>
              <w:right w:type="dxa" w:w="100"/>
            </w:tcMar>
          </w:tcPr>
          <w:p>
            <w:r>
              <w:rPr>
                <w:b w:val="false"/>
                <w:bCs w:val="false"/>
                <w:sz w:val="18"/>
                <w:szCs w:val="18"/>
              </w:rPr>
              <w:t xml:space="preserve">Natural Gas</w:t>
            </w:r>
          </w:p>
        </w:tc>
        <w:tc>
          <w:tcPr>
            <w:tcW w:type="dxa" w:w="4300"/>
            <w:tcMar>
              <w:top w:type="dxa" w:w="40"/>
              <w:left w:type="dxa" w:w="100"/>
              <w:bottom w:type="dxa" w:w="40"/>
              <w:right w:type="dxa" w:w="100"/>
            </w:tcMar>
          </w:tcPr>
          <w:p>
            <w:r>
              <w:rPr>
                <w:b w:val="false"/>
                <w:bCs w:val="false"/>
                <w:sz w:val="18"/>
                <w:szCs w:val="18"/>
              </w:rPr>
              <w:t xml:space="preserve">Virginia Natural Gas</w:t>
            </w:r>
          </w:p>
        </w:tc>
        <w:tc>
          <w:tcPr>
            <w:tcW w:type="dxa" w:w="2560"/>
            <w:tcMar>
              <w:top w:type="dxa" w:w="40"/>
              <w:left w:type="dxa" w:w="100"/>
              <w:bottom w:type="dxa" w:w="40"/>
              <w:right w:type="dxa" w:w="100"/>
            </w:tcMar>
          </w:tcPr>
          <w:p>
            <w:pPr>
              <w:jc w:val="right"/>
            </w:pPr>
            <w:r>
              <w:rPr>
                <w:b/>
                <w:bCs/>
                <w:sz w:val="18"/>
                <w:szCs w:val="18"/>
              </w:rPr>
              <w:t xml:space="preserve">1-866-229-3578</w:t>
            </w:r>
          </w:p>
        </w:tc>
      </w:tr>
      <w:tr>
        <w:tc>
          <w:tcPr>
            <w:tcW w:type="dxa" w:w="2500"/>
            <w:tcMar>
              <w:top w:type="dxa" w:w="40"/>
              <w:left w:type="dxa" w:w="100"/>
              <w:bottom w:type="dxa" w:w="40"/>
              <w:right w:type="dxa" w:w="100"/>
            </w:tcMar>
          </w:tcPr>
          <w:p>
            <w:r>
              <w:rPr>
                <w:b w:val="false"/>
                <w:bCs w:val="false"/>
                <w:sz w:val="18"/>
                <w:szCs w:val="18"/>
              </w:rPr>
              <w:t xml:space="preserve">Water</w:t>
            </w:r>
          </w:p>
        </w:tc>
        <w:tc>
          <w:tcPr>
            <w:tcW w:type="dxa" w:w="4300"/>
            <w:tcMar>
              <w:top w:type="dxa" w:w="40"/>
              <w:left w:type="dxa" w:w="100"/>
              <w:bottom w:type="dxa" w:w="40"/>
              <w:right w:type="dxa" w:w="100"/>
            </w:tcMar>
          </w:tcPr>
          <w:p>
            <w:r>
              <w:rPr>
                <w:b w:val="false"/>
                <w:bCs w:val="false"/>
                <w:sz w:val="18"/>
                <w:szCs w:val="18"/>
              </w:rPr>
              <w:t xml:space="preserve">Newport News Waterworks</w:t>
            </w:r>
          </w:p>
        </w:tc>
        <w:tc>
          <w:tcPr>
            <w:tcW w:type="dxa" w:w="2560"/>
            <w:tcMar>
              <w:top w:type="dxa" w:w="40"/>
              <w:left w:type="dxa" w:w="100"/>
              <w:bottom w:type="dxa" w:w="40"/>
              <w:right w:type="dxa" w:w="100"/>
            </w:tcMar>
          </w:tcPr>
          <w:p>
            <w:pPr>
              <w:jc w:val="right"/>
            </w:pPr>
            <w:r>
              <w:rPr>
                <w:b/>
                <w:bCs/>
                <w:sz w:val="18"/>
                <w:szCs w:val="18"/>
              </w:rPr>
              <w:t xml:space="preserve">757-926-1000</w:t>
            </w:r>
          </w:p>
        </w:tc>
      </w:tr>
      <w:tr>
        <w:tc>
          <w:tcPr>
            <w:tcW w:type="dxa" w:w="2500"/>
            <w:tcMar>
              <w:top w:type="dxa" w:w="40"/>
              <w:left w:type="dxa" w:w="100"/>
              <w:bottom w:type="dxa" w:w="40"/>
              <w:right w:type="dxa" w:w="100"/>
            </w:tcMar>
          </w:tcPr>
          <w:p>
            <w:r>
              <w:rPr>
                <w:b w:val="false"/>
                <w:bCs w:val="false"/>
                <w:sz w:val="18"/>
                <w:szCs w:val="18"/>
              </w:rPr>
              <w:t xml:space="preserve">Sewage</w:t>
            </w:r>
          </w:p>
        </w:tc>
        <w:tc>
          <w:tcPr>
            <w:tcW w:type="dxa" w:w="4300"/>
            <w:tcMar>
              <w:top w:type="dxa" w:w="40"/>
              <w:left w:type="dxa" w:w="100"/>
              <w:bottom w:type="dxa" w:w="40"/>
              <w:right w:type="dxa" w:w="100"/>
            </w:tcMar>
          </w:tcPr>
          <w:p>
            <w:r>
              <w:rPr>
                <w:b w:val="false"/>
                <w:bCs w:val="false"/>
                <w:sz w:val="18"/>
                <w:szCs w:val="18"/>
              </w:rPr>
              <w:t xml:space="preserve">HRSD</w:t>
            </w:r>
          </w:p>
        </w:tc>
        <w:tc>
          <w:tcPr>
            <w:tcW w:type="dxa" w:w="2560"/>
            <w:tcMar>
              <w:top w:type="dxa" w:w="40"/>
              <w:left w:type="dxa" w:w="100"/>
              <w:bottom w:type="dxa" w:w="40"/>
              <w:right w:type="dxa" w:w="100"/>
            </w:tcMar>
          </w:tcPr>
          <w:p>
            <w:pPr>
              <w:jc w:val="right"/>
            </w:pPr>
            <w:r>
              <w:rPr>
                <w:b/>
                <w:bCs/>
                <w:sz w:val="18"/>
                <w:szCs w:val="18"/>
              </w:rPr>
              <w:t xml:space="preserve">757-460-2491</w:t>
            </w:r>
          </w:p>
        </w:tc>
      </w:tr>
      <w:tr>
        <w:tc>
          <w:tcPr>
            <w:tcW w:type="dxa" w:w="2500"/>
            <w:tcMar>
              <w:top w:type="dxa" w:w="40"/>
              <w:left w:type="dxa" w:w="100"/>
              <w:bottom w:type="dxa" w:w="40"/>
              <w:right w:type="dxa" w:w="100"/>
            </w:tcMar>
          </w:tcPr>
          <w:p>
            <w:r>
              <w:rPr>
                <w:b w:val="false"/>
                <w:bCs w:val="false"/>
                <w:sz w:val="18"/>
                <w:szCs w:val="18"/>
              </w:rPr>
              <w:t xml:space="preserve">Trash &amp; Recycling</w:t>
            </w:r>
          </w:p>
        </w:tc>
        <w:tc>
          <w:tcPr>
            <w:tcW w:type="dxa" w:w="4300"/>
            <w:tcMar>
              <w:top w:type="dxa" w:w="40"/>
              <w:left w:type="dxa" w:w="100"/>
              <w:bottom w:type="dxa" w:w="40"/>
              <w:right w:type="dxa" w:w="100"/>
            </w:tcMar>
          </w:tcPr>
          <w:p>
            <w:r>
              <w:rPr>
                <w:b w:val="false"/>
                <w:bCs w:val="false"/>
                <w:sz w:val="18"/>
                <w:szCs w:val="18"/>
              </w:rPr>
              <w:t xml:space="preserve">City of Newport News</w:t>
            </w:r>
          </w:p>
        </w:tc>
        <w:tc>
          <w:tcPr>
            <w:tcW w:type="dxa" w:w="2560"/>
            <w:tcMar>
              <w:top w:type="dxa" w:w="40"/>
              <w:left w:type="dxa" w:w="100"/>
              <w:bottom w:type="dxa" w:w="40"/>
              <w:right w:type="dxa" w:w="100"/>
            </w:tcMar>
          </w:tcPr>
          <w:p>
            <w:pPr>
              <w:jc w:val="right"/>
            </w:pPr>
            <w:r>
              <w:rPr>
                <w:b/>
                <w:bCs/>
                <w:sz w:val="18"/>
                <w:szCs w:val="18"/>
              </w:rPr>
              <w:t xml:space="preserve">757-933-2311</w:t>
            </w:r>
          </w:p>
        </w:tc>
      </w:tr>
    </w:tbl>
    <w:p>
      <w:pPr>
        <w:pBdr>
          <w:top w:val="single" w:color="BBBBBB" w:sz="4"/>
        </w:pBdr>
        <w:spacing w:after="60" w:before="220"/>
      </w:pPr>
      <w:r>
        <w:rPr>
          <w:b/>
          <w:bCs/>
          <w:color w:val="1F2E5B"/>
        </w:rPr>
        <w:t xml:space="preserve">Questions? </w:t>
      </w:r>
      <w:r>
        <w:t xml:space="preserve">Anchor Point Property Management  •  info@homesbyanchorpoint.com  •  757-206-2611  •  homesbyanchorpoint.com</w:t>
      </w:r>
    </w:p>
    <w:sectPr>
      <w:headerReference w:type="default" r:id="rId7"/>
      <w:headerReference w:type="first" r:id="rId8"/>
      <w:footerReference w:type="default" r:id="rId9"/>
      <w:footerReference w:type="first" r:id="rId10"/>
      <w:pgSz w:w="12240" w:h="15840" w:orient="portrait"/>
      <w:pgMar w:top="1512" w:right="1440" w:bottom="1440" w:left="1440" w:header="576" w:footer="432"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spacing w:after="0" w:before="20"/>
    </w:pPr>
    <w:r>
      <w:rPr>
        <w:sz w:val="2"/>
        <w:szCs w:val="2"/>
      </w:rPr>
      <w:t xml:space="preserve"/>
    </w:r>
  </w:p>
  <w:p>
    <w:pPr>
      <w:spacing w:after="0"/>
      <w:jc w:val="right"/>
    </w:pPr>
    <w:r>
      <w:rPr>
        <w:color w:val="555555"/>
        <w:sz w:val="15"/>
        <w:szCs w:val="15"/>
      </w:rPr>
      <w:t xml:space="preserve">Page </w:t>
    </w:r>
    <w:r>
      <w:rPr>
        <w:sz w:val="15"/>
        <w:szCs w:val="15"/>
      </w:rPr>
      <w:fldChar w:fldCharType="begin"/>
      <w:instrText xml:space="preserve">PAGE</w:instrText>
      <w:fldChar w:fldCharType="separate"/>
      <w:fldChar w:fldCharType="end"/>
    </w:r>
    <w:r>
      <w:rPr>
        <w:color w:val="555555"/>
        <w:sz w:val="15"/>
        <w:szCs w:val="15"/>
      </w:rPr>
      <w:t xml:space="preserve"> of </w:t>
    </w:r>
    <w:r>
      <w:rPr>
        <w:sz w:val="15"/>
        <w:szCs w:val="15"/>
      </w:rPr>
      <w:fldChar w:fldCharType="begin"/>
      <w:instrText xml:space="preserve">NUMPAGES</w:instrText>
      <w:fldChar w:fldCharType="separate"/>
      <w:fldChar w:fldCharType="end"/>
    </w:r>
  </w:p>
  <w:p>
    <w:pPr>
      <w:spacing w:after="0"/>
    </w:pPr>
    <w:r>
      <w:drawing>
        <wp:inline distT="0" distB="0" distL="0" distR="0">
          <wp:extent cx="171450" cy="18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71450" cy="180975"/>
                  </a:xfrm>
                  <a:prstGeom prst="rect">
                    <a:avLst/>
                  </a:prstGeom>
                </pic:spPr>
              </pic:pic>
            </a:graphicData>
          </a:graphic>
        </wp:inline>
      </w:drawing>
    </w:r>
    <w:r>
      <w:rPr>
        <w:color w:val="6B6B6B"/>
        <w:sz w:val="13"/>
        <w:szCs w:val="13"/>
      </w:rPr>
      <w:t xml:space="preserve">  Equal Housing Opportunity — Anchor Point complies with all federal, state, and local fair housing laws and does not discriminate against any protected class.</w:t>
    </w:r>
  </w:p>
  <w:p>
    <w:pPr>
      <w:spacing w:before="10"/>
      <w:jc w:val="center"/>
    </w:pPr>
    <w:r>
      <w:rPr>
        <w:color w:val="999999"/>
        <w:sz w:val="13"/>
        <w:szCs w:val="13"/>
      </w:rPr>
      <w:t xml:space="preserve">Anchor Point Property Management, a division of Anchor Point, LLC  •  Broker: Anchor Point Realty  •  homesbyanchorpoint.com  •  Revised 2026-07-02  •  v1.0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spacing w:after="0" w:before="20"/>
    </w:pPr>
    <w:r>
      <w:rPr>
        <w:sz w:val="2"/>
        <w:szCs w:val="2"/>
      </w:rPr>
      <w:t xml:space="preserve"/>
    </w:r>
  </w:p>
  <w:p>
    <w:pPr>
      <w:spacing w:after="0"/>
      <w:jc w:val="right"/>
    </w:pPr>
    <w:r>
      <w:rPr>
        <w:color w:val="555555"/>
        <w:sz w:val="15"/>
        <w:szCs w:val="15"/>
      </w:rPr>
      <w:t xml:space="preserve">Page </w:t>
    </w:r>
    <w:r>
      <w:rPr>
        <w:sz w:val="15"/>
        <w:szCs w:val="15"/>
      </w:rPr>
      <w:fldChar w:fldCharType="begin"/>
      <w:instrText xml:space="preserve">PAGE</w:instrText>
      <w:fldChar w:fldCharType="separate"/>
      <w:fldChar w:fldCharType="end"/>
    </w:r>
    <w:r>
      <w:rPr>
        <w:color w:val="555555"/>
        <w:sz w:val="15"/>
        <w:szCs w:val="15"/>
      </w:rPr>
      <w:t xml:space="preserve"> of </w:t>
    </w:r>
    <w:r>
      <w:rPr>
        <w:sz w:val="15"/>
        <w:szCs w:val="15"/>
      </w:rPr>
      <w:fldChar w:fldCharType="begin"/>
      <w:instrText xml:space="preserve">NUMPAGES</w:instrText>
      <w:fldChar w:fldCharType="separate"/>
      <w:fldChar w:fldCharType="end"/>
    </w:r>
  </w:p>
  <w:p>
    <w:pPr>
      <w:spacing w:after="0"/>
    </w:pPr>
    <w:r>
      <w:drawing>
        <wp:inline distT="0" distB="0" distL="0" distR="0">
          <wp:extent cx="171450" cy="18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71450" cy="180975"/>
                  </a:xfrm>
                  <a:prstGeom prst="rect">
                    <a:avLst/>
                  </a:prstGeom>
                </pic:spPr>
              </pic:pic>
            </a:graphicData>
          </a:graphic>
        </wp:inline>
      </w:drawing>
    </w:r>
    <w:r>
      <w:rPr>
        <w:color w:val="6B6B6B"/>
        <w:sz w:val="13"/>
        <w:szCs w:val="13"/>
      </w:rPr>
      <w:t xml:space="preserve">  Equal Housing Opportunity — Anchor Point complies with all federal, state, and local fair housing laws and does not discriminate against any protected class.</w:t>
    </w:r>
  </w:p>
  <w:p>
    <w:pPr>
      <w:spacing w:before="10"/>
      <w:jc w:val="center"/>
    </w:pPr>
    <w:r>
      <w:rPr>
        <w:color w:val="999999"/>
        <w:sz w:val="13"/>
        <w:szCs w:val="13"/>
      </w:rPr>
      <w:t xml:space="preserve">Anchor Point Property Management, a division of Anchor Point, LLC  •  Broker: Anchor Point Realty  •  homesbyanchorpoint.com  •  Revised 2026-07-02  •  v1.0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360"/>
      </w:tabs>
    </w:pPr>
    <w:r>
      <w:rPr>
        <w:b/>
        <w:bCs/>
        <w:color w:val="1F2E5B"/>
        <w:spacing w:val="30"/>
        <w:sz w:val="16"/>
        <w:szCs w:val="16"/>
      </w:rPr>
      <w:t xml:space="preserve">ANCHOR POINT PROPERTY MANAGEMENT</w:t>
    </w:r>
    <w:r>
      <w:tab/>
    </w:r>
    <w:r>
      <w:rPr>
        <w:color w:val="6B6B6B"/>
        <w:sz w:val="15"/>
        <w:szCs w:val="15"/>
      </w:rPr>
      <w:t xml:space="preserve">Version 1.0</w:t>
    </w:r>
  </w:p>
  <w:p>
    <w:pPr>
      <w:pBdr>
        <w:bottom w:val="single" w:color="1F2E5B" w:sz="6" w:space="1"/>
      </w:pBdr>
      <w:spacing w:after="0" w:before="20"/>
    </w:pPr>
    <w:r>
      <w:rPr>
        <w:sz w:val="2"/>
        <w:szCs w:val="2"/>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6B6B"/>
        <w:sz w:val="15"/>
        <w:szCs w:val="15"/>
      </w:rPr>
      <w:t xml:space="preserve">Version 1.0</w:t>
    </w:r>
  </w:p>
  <w:p>
    <w:pPr>
      <w:pBdr>
        <w:bottom w:val="single" w:color="1F2E5B" w:sz="6" w:space="1"/>
      </w:pBdr>
      <w:spacing w:after="0" w:before="2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decimal"/>
      <w:lvlText w:val="%1."/>
      <w:lvlJc w:val="left"/>
      <w:pPr>
        <w:ind w:left="38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pPr>
        <w:spacing w:after="110" w:line="30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7bf159ca3aa80527205d43594240f26f0a4f79b5.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dd23e0e210bf6cd3635486e177847948b8dc39b6.png"/></Relationships>
</file>

<file path=word/_rels/footer2.xml.rels><?xml version="1.0" encoding="UTF-8"?><Relationships xmlns="http://schemas.openxmlformats.org/package/2006/relationships"><Relationship Id="rId0" Type="http://schemas.openxmlformats.org/officeDocument/2006/relationships/image" Target="media/dd23e0e210bf6cd3635486e177847948b8dc39b6.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Anchor Point Property Management</dc:creator>
  <cp:lastModifiedBy>Un-named</cp:lastModifiedBy>
  <cp:revision>1</cp:revision>
  <dcterms:created xsi:type="dcterms:W3CDTF">2026-07-02T16:04:13.071Z</dcterms:created>
  <dcterms:modified xsi:type="dcterms:W3CDTF">2026-07-02T16:04:13.072Z</dcterms:modified>
</cp:coreProperties>
</file>

<file path=docProps/custom.xml><?xml version="1.0" encoding="utf-8"?>
<Properties xmlns="http://schemas.openxmlformats.org/officeDocument/2006/custom-properties" xmlns:vt="http://schemas.openxmlformats.org/officeDocument/2006/docPropsVTypes"/>
</file>